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D1" w:rsidRDefault="002061D1" w:rsidP="002061D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VÝROČNÍ ZPRÁVA </w:t>
      </w:r>
    </w:p>
    <w:p w:rsidR="002061D1" w:rsidRDefault="002061D1" w:rsidP="002061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č</w:t>
      </w:r>
      <w:r>
        <w:rPr>
          <w:b/>
          <w:bCs/>
          <w:sz w:val="28"/>
          <w:szCs w:val="28"/>
        </w:rPr>
        <w:t xml:space="preserve">innosti Obecního </w:t>
      </w:r>
      <w:r>
        <w:rPr>
          <w:b/>
          <w:bCs/>
          <w:sz w:val="28"/>
          <w:szCs w:val="28"/>
        </w:rPr>
        <w:t>úř</w:t>
      </w:r>
      <w:r>
        <w:rPr>
          <w:b/>
          <w:bCs/>
          <w:sz w:val="28"/>
          <w:szCs w:val="28"/>
        </w:rPr>
        <w:t>adu Chudčice</w:t>
      </w:r>
      <w:r>
        <w:rPr>
          <w:b/>
          <w:bCs/>
          <w:sz w:val="28"/>
          <w:szCs w:val="28"/>
        </w:rPr>
        <w:t xml:space="preserve"> v oblasti poskytování informací podle zákona č. 106/1999 Sb., o svobodném přístupu k informacím, v platném znění, za rok 2017</w:t>
      </w:r>
    </w:p>
    <w:p w:rsidR="002061D1" w:rsidRDefault="002061D1" w:rsidP="002061D1">
      <w:pPr>
        <w:pStyle w:val="Default"/>
        <w:jc w:val="center"/>
        <w:rPr>
          <w:sz w:val="28"/>
          <w:szCs w:val="28"/>
        </w:rPr>
      </w:pPr>
    </w:p>
    <w:p w:rsidR="002061D1" w:rsidRDefault="002061D1" w:rsidP="002061D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Obec Chudčice </w:t>
      </w:r>
      <w:r>
        <w:rPr>
          <w:sz w:val="22"/>
          <w:szCs w:val="22"/>
        </w:rPr>
        <w:t>vydává v souladu s § 18 odst. 1 zákona č. 106/1999 Sb., o svobodném přístupu k informacím, ve znění zákona č. 61/2006 Sb. (dále jen „zákon č. 106/1999 Sb.“),</w:t>
      </w:r>
    </w:p>
    <w:p w:rsidR="002061D1" w:rsidRDefault="002061D1" w:rsidP="002061D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Výroční zprávu o č</w:t>
      </w:r>
      <w:r>
        <w:rPr>
          <w:sz w:val="22"/>
          <w:szCs w:val="22"/>
        </w:rPr>
        <w:t xml:space="preserve">innosti Obecního </w:t>
      </w:r>
      <w:r>
        <w:rPr>
          <w:sz w:val="22"/>
          <w:szCs w:val="22"/>
        </w:rPr>
        <w:t>úř</w:t>
      </w:r>
      <w:r>
        <w:rPr>
          <w:sz w:val="22"/>
          <w:szCs w:val="22"/>
        </w:rPr>
        <w:t>adu Chudčice</w:t>
      </w:r>
      <w:r>
        <w:rPr>
          <w:sz w:val="22"/>
          <w:szCs w:val="22"/>
        </w:rPr>
        <w:t xml:space="preserve"> v oblasti poskytování informací</w:t>
      </w:r>
      <w:r w:rsidR="00D67AE1">
        <w:rPr>
          <w:sz w:val="22"/>
          <w:szCs w:val="22"/>
        </w:rPr>
        <w:t xml:space="preserve"> za rok 2017</w:t>
      </w:r>
      <w:bookmarkStart w:id="0" w:name="_GoBack"/>
      <w:bookmarkEnd w:id="0"/>
    </w:p>
    <w:p w:rsidR="002061D1" w:rsidRDefault="002061D1" w:rsidP="002061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2061D1" w:rsidRDefault="002061D1" w:rsidP="002061D1">
      <w:pPr>
        <w:pStyle w:val="Default"/>
        <w:rPr>
          <w:sz w:val="22"/>
          <w:szCs w:val="22"/>
        </w:rPr>
      </w:pPr>
    </w:p>
    <w:p w:rsidR="002061D1" w:rsidRDefault="002061D1" w:rsidP="002061D1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a)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poče</w:t>
      </w:r>
      <w:r>
        <w:rPr>
          <w:i/>
          <w:iCs/>
          <w:sz w:val="22"/>
          <w:szCs w:val="22"/>
        </w:rPr>
        <w:t>t</w:t>
      </w:r>
      <w:proofErr w:type="gramEnd"/>
      <w:r>
        <w:rPr>
          <w:i/>
          <w:iCs/>
          <w:sz w:val="22"/>
          <w:szCs w:val="22"/>
        </w:rPr>
        <w:t xml:space="preserve"> podaných žádostí o informace: </w:t>
      </w:r>
      <w:r>
        <w:rPr>
          <w:b/>
          <w:bCs/>
          <w:sz w:val="22"/>
          <w:szCs w:val="22"/>
        </w:rPr>
        <w:t xml:space="preserve"> 7</w:t>
      </w:r>
      <w:r>
        <w:rPr>
          <w:b/>
          <w:bCs/>
          <w:sz w:val="22"/>
          <w:szCs w:val="22"/>
        </w:rPr>
        <w:t xml:space="preserve"> </w:t>
      </w:r>
    </w:p>
    <w:p w:rsidR="002061D1" w:rsidRDefault="002061D1" w:rsidP="002061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počet vydaných rozhodnutí o odmítnutí žádosti (úplné): </w:t>
      </w:r>
      <w:r>
        <w:rPr>
          <w:b/>
          <w:bCs/>
          <w:sz w:val="22"/>
          <w:szCs w:val="22"/>
        </w:rPr>
        <w:t xml:space="preserve"> 0</w:t>
      </w:r>
    </w:p>
    <w:p w:rsidR="002061D1" w:rsidRDefault="002061D1" w:rsidP="002061D1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počet vydaných rozhodnutí o odmítnutí žádosti (částečné): </w:t>
      </w:r>
      <w:r>
        <w:rPr>
          <w:b/>
          <w:bCs/>
          <w:sz w:val="22"/>
          <w:szCs w:val="22"/>
        </w:rPr>
        <w:t xml:space="preserve">0 </w:t>
      </w:r>
    </w:p>
    <w:p w:rsidR="002061D1" w:rsidRDefault="002061D1" w:rsidP="002061D1">
      <w:pPr>
        <w:pStyle w:val="Default"/>
        <w:rPr>
          <w:sz w:val="22"/>
          <w:szCs w:val="22"/>
        </w:rPr>
      </w:pPr>
    </w:p>
    <w:p w:rsidR="002061D1" w:rsidRDefault="002061D1" w:rsidP="002061D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b)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počet podaných odvolání proti </w:t>
      </w:r>
      <w:proofErr w:type="gramStart"/>
      <w:r>
        <w:rPr>
          <w:i/>
          <w:iCs/>
          <w:sz w:val="22"/>
          <w:szCs w:val="22"/>
        </w:rPr>
        <w:t>rozhodnutí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0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2061D1" w:rsidRDefault="002061D1" w:rsidP="002061D1">
      <w:pPr>
        <w:pStyle w:val="Default"/>
        <w:rPr>
          <w:sz w:val="22"/>
          <w:szCs w:val="22"/>
        </w:rPr>
      </w:pPr>
    </w:p>
    <w:p w:rsidR="002061D1" w:rsidRDefault="002061D1" w:rsidP="002061D1">
      <w:pPr>
        <w:pStyle w:val="Default"/>
        <w:ind w:left="284" w:hanging="284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c) </w:t>
      </w:r>
      <w:r>
        <w:rPr>
          <w:b/>
          <w:bCs/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>opis</w:t>
      </w:r>
      <w:proofErr w:type="gramEnd"/>
      <w:r>
        <w:rPr>
          <w:i/>
          <w:iCs/>
          <w:sz w:val="22"/>
          <w:szCs w:val="22"/>
        </w:rPr>
        <w:t xml:space="preserve"> podstatných částí každého rozsudku soudu ve věci přezkoumání zá</w:t>
      </w:r>
      <w:r>
        <w:rPr>
          <w:i/>
          <w:iCs/>
          <w:sz w:val="22"/>
          <w:szCs w:val="22"/>
        </w:rPr>
        <w:t xml:space="preserve">konnosti     </w:t>
      </w:r>
      <w:r>
        <w:rPr>
          <w:i/>
          <w:iCs/>
          <w:sz w:val="22"/>
          <w:szCs w:val="22"/>
        </w:rPr>
        <w:t xml:space="preserve">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 </w:t>
      </w:r>
      <w:r>
        <w:rPr>
          <w:i/>
          <w:i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</w:p>
    <w:p w:rsidR="002061D1" w:rsidRDefault="002061D1" w:rsidP="002061D1">
      <w:pPr>
        <w:pStyle w:val="Default"/>
        <w:rPr>
          <w:sz w:val="22"/>
          <w:szCs w:val="22"/>
        </w:rPr>
      </w:pPr>
    </w:p>
    <w:p w:rsidR="002061D1" w:rsidRDefault="002061D1" w:rsidP="002061D1">
      <w:pPr>
        <w:pStyle w:val="Default"/>
        <w:ind w:left="284" w:hanging="284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d) </w:t>
      </w:r>
      <w:r>
        <w:rPr>
          <w:b/>
          <w:b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výčet</w:t>
      </w:r>
      <w:proofErr w:type="gramEnd"/>
      <w:r>
        <w:rPr>
          <w:i/>
          <w:iCs/>
          <w:sz w:val="22"/>
          <w:szCs w:val="22"/>
        </w:rPr>
        <w:t xml:space="preserve"> poskytnutých výhradních licencí, včetně odůvodnění nezbytnosti poskytnutí 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výhradní licence: </w:t>
      </w:r>
      <w:r>
        <w:rPr>
          <w:b/>
          <w:bCs/>
          <w:sz w:val="22"/>
          <w:szCs w:val="22"/>
        </w:rPr>
        <w:t xml:space="preserve"> 0</w:t>
      </w:r>
    </w:p>
    <w:p w:rsidR="002061D1" w:rsidRDefault="002061D1" w:rsidP="002061D1">
      <w:pPr>
        <w:pStyle w:val="Default"/>
        <w:rPr>
          <w:sz w:val="22"/>
          <w:szCs w:val="22"/>
        </w:rPr>
      </w:pPr>
    </w:p>
    <w:p w:rsidR="002061D1" w:rsidRDefault="002061D1" w:rsidP="002061D1">
      <w:pPr>
        <w:pStyle w:val="Default"/>
        <w:ind w:left="284" w:hanging="284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e) </w:t>
      </w:r>
      <w:r>
        <w:rPr>
          <w:b/>
          <w:b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počet</w:t>
      </w:r>
      <w:proofErr w:type="gramEnd"/>
      <w:r>
        <w:rPr>
          <w:i/>
          <w:iCs/>
          <w:sz w:val="22"/>
          <w:szCs w:val="22"/>
        </w:rPr>
        <w:t xml:space="preserve"> stížností podaných podle § 16a zákona č. 106/1999 Sb., </w:t>
      </w:r>
      <w:r>
        <w:rPr>
          <w:sz w:val="22"/>
          <w:szCs w:val="22"/>
        </w:rPr>
        <w:t xml:space="preserve">důvody jejich podání a 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stručný popis způsobu jejich vyřízení: </w:t>
      </w:r>
      <w:r>
        <w:rPr>
          <w:b/>
          <w:bCs/>
          <w:sz w:val="22"/>
          <w:szCs w:val="22"/>
        </w:rPr>
        <w:t xml:space="preserve">0 </w:t>
      </w:r>
    </w:p>
    <w:p w:rsidR="002061D1" w:rsidRDefault="002061D1" w:rsidP="002061D1">
      <w:pPr>
        <w:pStyle w:val="Default"/>
        <w:rPr>
          <w:sz w:val="22"/>
          <w:szCs w:val="22"/>
        </w:rPr>
      </w:pPr>
    </w:p>
    <w:p w:rsidR="002061D1" w:rsidRDefault="002061D1" w:rsidP="002061D1">
      <w:pPr>
        <w:pStyle w:val="Default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f) </w:t>
      </w:r>
      <w:r>
        <w:rPr>
          <w:b/>
          <w:b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další</w:t>
      </w:r>
      <w:proofErr w:type="gramEnd"/>
      <w:r>
        <w:rPr>
          <w:i/>
          <w:iCs/>
          <w:sz w:val="22"/>
          <w:szCs w:val="22"/>
        </w:rPr>
        <w:t xml:space="preserve"> informace vztahující se k uplatňování tohoto zákona: </w:t>
      </w:r>
      <w:r>
        <w:rPr>
          <w:b/>
          <w:bCs/>
          <w:sz w:val="22"/>
          <w:szCs w:val="22"/>
        </w:rPr>
        <w:t xml:space="preserve">nejsou </w:t>
      </w:r>
    </w:p>
    <w:p w:rsidR="002061D1" w:rsidRDefault="002061D1" w:rsidP="002061D1">
      <w:pPr>
        <w:pStyle w:val="Default"/>
        <w:rPr>
          <w:sz w:val="22"/>
          <w:szCs w:val="22"/>
        </w:rPr>
      </w:pPr>
    </w:p>
    <w:p w:rsidR="002061D1" w:rsidRDefault="002061D1" w:rsidP="002061D1">
      <w:pPr>
        <w:pStyle w:val="Default"/>
        <w:rPr>
          <w:sz w:val="22"/>
          <w:szCs w:val="22"/>
        </w:rPr>
      </w:pPr>
    </w:p>
    <w:p w:rsidR="002061D1" w:rsidRDefault="002061D1" w:rsidP="002061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 Chudčicích dne 22. 2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2018 </w:t>
      </w:r>
    </w:p>
    <w:p w:rsidR="002061D1" w:rsidRDefault="002061D1" w:rsidP="002061D1">
      <w:pPr>
        <w:rPr>
          <w:sz w:val="22"/>
          <w:szCs w:val="22"/>
        </w:rPr>
      </w:pPr>
    </w:p>
    <w:p w:rsidR="002061D1" w:rsidRDefault="002061D1" w:rsidP="002061D1">
      <w:pPr>
        <w:rPr>
          <w:sz w:val="22"/>
          <w:szCs w:val="22"/>
        </w:rPr>
      </w:pPr>
      <w:r>
        <w:rPr>
          <w:sz w:val="22"/>
          <w:szCs w:val="22"/>
        </w:rPr>
        <w:t>Vladimír Kalus</w:t>
      </w:r>
    </w:p>
    <w:p w:rsidR="002061D1" w:rsidRDefault="002061D1" w:rsidP="002061D1">
      <w:r>
        <w:t>Starosta obce Chudčice</w:t>
      </w:r>
    </w:p>
    <w:p w:rsidR="00D17E0E" w:rsidRPr="00A92E33" w:rsidRDefault="00D17E0E">
      <w:pPr>
        <w:rPr>
          <w:szCs w:val="24"/>
        </w:rPr>
      </w:pPr>
    </w:p>
    <w:sectPr w:rsidR="00D17E0E" w:rsidRPr="00A92E33" w:rsidSect="007A22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AE4" w:rsidRDefault="00AA7AE4" w:rsidP="00A96BC0">
      <w:pPr>
        <w:spacing w:line="240" w:lineRule="auto"/>
      </w:pPr>
      <w:r>
        <w:separator/>
      </w:r>
    </w:p>
  </w:endnote>
  <w:endnote w:type="continuationSeparator" w:id="0">
    <w:p w:rsidR="00AA7AE4" w:rsidRDefault="00AA7AE4" w:rsidP="00A96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0" w:type="dxa"/>
      <w:tblInd w:w="112" w:type="dxa"/>
      <w:tblBorders>
        <w:top w:val="single" w:sz="8" w:space="0" w:color="3366FF"/>
      </w:tblBorders>
      <w:tblLayout w:type="fixed"/>
      <w:tblCellMar>
        <w:left w:w="112" w:type="dxa"/>
        <w:right w:w="112" w:type="dxa"/>
      </w:tblCellMar>
      <w:tblLook w:val="0000" w:firstRow="0" w:lastRow="0" w:firstColumn="0" w:lastColumn="0" w:noHBand="0" w:noVBand="0"/>
    </w:tblPr>
    <w:tblGrid>
      <w:gridCol w:w="2992"/>
      <w:gridCol w:w="3128"/>
      <w:gridCol w:w="2880"/>
    </w:tblGrid>
    <w:tr w:rsidR="00A96BC0" w:rsidRPr="007C1BAE" w:rsidTr="002134FA">
      <w:trPr>
        <w:trHeight w:val="835"/>
      </w:trPr>
      <w:tc>
        <w:tcPr>
          <w:tcW w:w="2992" w:type="dxa"/>
          <w:shd w:val="clear" w:color="000000" w:fill="auto"/>
          <w:vAlign w:val="center"/>
        </w:tcPr>
        <w:p w:rsidR="00A96BC0" w:rsidRPr="007C1BAE" w:rsidRDefault="00A96BC0" w:rsidP="002134FA">
          <w:pPr>
            <w:pStyle w:val="Styltabulky"/>
          </w:pPr>
          <w:r w:rsidRPr="007C1BAE">
            <w:t>Telefon / fax / e-mail</w:t>
          </w:r>
        </w:p>
        <w:p w:rsidR="00A96BC0" w:rsidRPr="007C1BAE" w:rsidRDefault="00A96BC0" w:rsidP="002134FA">
          <w:pPr>
            <w:pStyle w:val="Styltabulky"/>
          </w:pPr>
          <w:r w:rsidRPr="007C1BAE">
            <w:t>+ 420 549 420 107  obecniurad@chudcice.cz</w:t>
          </w:r>
        </w:p>
      </w:tc>
      <w:tc>
        <w:tcPr>
          <w:tcW w:w="3128" w:type="dxa"/>
          <w:shd w:val="clear" w:color="000000" w:fill="auto"/>
          <w:vAlign w:val="center"/>
        </w:tcPr>
        <w:p w:rsidR="00A96BC0" w:rsidRPr="007C1BAE" w:rsidRDefault="00A96BC0" w:rsidP="002134FA">
          <w:pPr>
            <w:pStyle w:val="Styltabulky"/>
            <w:jc w:val="center"/>
          </w:pPr>
          <w:r w:rsidRPr="007C1BAE">
            <w:t>Bankovní spojení</w:t>
          </w:r>
        </w:p>
        <w:p w:rsidR="00A96BC0" w:rsidRPr="007C1BAE" w:rsidRDefault="00A96BC0" w:rsidP="002134FA">
          <w:pPr>
            <w:pStyle w:val="Styltabulky"/>
            <w:jc w:val="center"/>
          </w:pPr>
          <w:r w:rsidRPr="007C1BAE">
            <w:t>Česká spořitelna a.s.</w:t>
          </w:r>
        </w:p>
        <w:p w:rsidR="00A96BC0" w:rsidRPr="007C1BAE" w:rsidRDefault="00A96BC0" w:rsidP="002134FA">
          <w:pPr>
            <w:pStyle w:val="Styltabulky"/>
            <w:jc w:val="center"/>
          </w:pPr>
          <w:r w:rsidRPr="007C1BAE">
            <w:t>Veverská Bítýška</w:t>
          </w:r>
        </w:p>
        <w:p w:rsidR="00A96BC0" w:rsidRPr="007C1BAE" w:rsidRDefault="00A96BC0" w:rsidP="002134FA">
          <w:pPr>
            <w:pStyle w:val="Styltabulky"/>
            <w:jc w:val="center"/>
          </w:pPr>
          <w:r w:rsidRPr="007C1BAE">
            <w:t>č.ú. 2023714339/0800</w:t>
          </w:r>
        </w:p>
      </w:tc>
      <w:tc>
        <w:tcPr>
          <w:tcW w:w="2880" w:type="dxa"/>
          <w:shd w:val="clear" w:color="000000" w:fill="auto"/>
          <w:vAlign w:val="center"/>
        </w:tcPr>
        <w:p w:rsidR="00A96BC0" w:rsidRPr="007C1BAE" w:rsidRDefault="00A96BC0" w:rsidP="002134FA">
          <w:pPr>
            <w:pStyle w:val="Styltabulky"/>
            <w:jc w:val="center"/>
          </w:pPr>
          <w:r w:rsidRPr="007C1BAE">
            <w:t xml:space="preserve">                             IČO</w:t>
          </w:r>
        </w:p>
        <w:p w:rsidR="00A96BC0" w:rsidRPr="007C1BAE" w:rsidRDefault="00A96BC0" w:rsidP="002134FA">
          <w:pPr>
            <w:pStyle w:val="Styltabulky"/>
            <w:jc w:val="right"/>
          </w:pPr>
          <w:r w:rsidRPr="007C1BAE">
            <w:t>00362956</w:t>
          </w:r>
        </w:p>
      </w:tc>
    </w:tr>
  </w:tbl>
  <w:p w:rsidR="00A96BC0" w:rsidRDefault="00A96B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AE4" w:rsidRDefault="00AA7AE4" w:rsidP="00A96BC0">
      <w:pPr>
        <w:spacing w:line="240" w:lineRule="auto"/>
      </w:pPr>
      <w:r>
        <w:separator/>
      </w:r>
    </w:p>
  </w:footnote>
  <w:footnote w:type="continuationSeparator" w:id="0">
    <w:p w:rsidR="00AA7AE4" w:rsidRDefault="00AA7AE4" w:rsidP="00A96B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8" w:space="0" w:color="3366FF"/>
      </w:tblBorders>
      <w:tblLook w:val="01E0" w:firstRow="1" w:lastRow="1" w:firstColumn="1" w:lastColumn="1" w:noHBand="0" w:noVBand="0"/>
    </w:tblPr>
    <w:tblGrid>
      <w:gridCol w:w="1366"/>
      <w:gridCol w:w="4694"/>
      <w:gridCol w:w="3012"/>
    </w:tblGrid>
    <w:tr w:rsidR="00A96BC0" w:rsidRPr="007C1BAE" w:rsidTr="00A96BC0">
      <w:tc>
        <w:tcPr>
          <w:tcW w:w="1368" w:type="dxa"/>
          <w:vMerge w:val="restart"/>
        </w:tcPr>
        <w:p w:rsidR="00A96BC0" w:rsidRDefault="00D3658D" w:rsidP="00A96BC0">
          <w:pPr>
            <w:pStyle w:val="Zhlav"/>
            <w:jc w:val="both"/>
          </w:pPr>
          <w:r>
            <w:drawing>
              <wp:inline distT="0" distB="0" distL="0" distR="0">
                <wp:extent cx="685800" cy="552450"/>
                <wp:effectExtent l="0" t="0" r="0" b="0"/>
                <wp:docPr id="1" name="obrázek 1" descr="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3" w:type="dxa"/>
          <w:vMerge w:val="restart"/>
        </w:tcPr>
        <w:p w:rsidR="00A96BC0" w:rsidRPr="007C1BAE" w:rsidRDefault="00A96BC0" w:rsidP="00A96BC0">
          <w:pPr>
            <w:pStyle w:val="Zhlav"/>
            <w:spacing w:before="300"/>
            <w:jc w:val="center"/>
            <w:rPr>
              <w:b/>
              <w:sz w:val="36"/>
              <w:szCs w:val="36"/>
            </w:rPr>
          </w:pPr>
          <w:r w:rsidRPr="007C1BAE">
            <w:rPr>
              <w:b/>
              <w:sz w:val="36"/>
              <w:szCs w:val="36"/>
            </w:rPr>
            <w:t>OBEC  CHUDČICE</w:t>
          </w:r>
        </w:p>
      </w:tc>
      <w:tc>
        <w:tcPr>
          <w:tcW w:w="3071" w:type="dxa"/>
        </w:tcPr>
        <w:p w:rsidR="00A96BC0" w:rsidRPr="007C1BAE" w:rsidRDefault="00A96BC0" w:rsidP="00A96BC0">
          <w:pPr>
            <w:pStyle w:val="Zhlav"/>
            <w:jc w:val="right"/>
          </w:pPr>
          <w:r w:rsidRPr="007C1BAE">
            <w:t>Okres Brno-venkov</w:t>
          </w:r>
        </w:p>
      </w:tc>
    </w:tr>
    <w:tr w:rsidR="00A96BC0" w:rsidRPr="007C1BAE" w:rsidTr="00A96BC0">
      <w:tc>
        <w:tcPr>
          <w:tcW w:w="1368" w:type="dxa"/>
          <w:vMerge/>
        </w:tcPr>
        <w:p w:rsidR="00A96BC0" w:rsidRDefault="00A96BC0" w:rsidP="00A96BC0">
          <w:pPr>
            <w:pStyle w:val="Zhlav"/>
            <w:jc w:val="both"/>
          </w:pPr>
        </w:p>
      </w:tc>
      <w:tc>
        <w:tcPr>
          <w:tcW w:w="4773" w:type="dxa"/>
          <w:vMerge/>
        </w:tcPr>
        <w:p w:rsidR="00A96BC0" w:rsidRPr="007C1BAE" w:rsidRDefault="00A96BC0" w:rsidP="00A96BC0">
          <w:pPr>
            <w:pStyle w:val="Zhlav"/>
            <w:jc w:val="both"/>
          </w:pPr>
        </w:p>
      </w:tc>
      <w:tc>
        <w:tcPr>
          <w:tcW w:w="3071" w:type="dxa"/>
        </w:tcPr>
        <w:p w:rsidR="00A96BC0" w:rsidRPr="007C1BAE" w:rsidRDefault="00A96BC0" w:rsidP="00A96BC0">
          <w:pPr>
            <w:pStyle w:val="Zhlav"/>
            <w:jc w:val="right"/>
          </w:pPr>
          <w:r w:rsidRPr="007C1BAE">
            <w:t>664 71 Veverská Bítýška</w:t>
          </w:r>
        </w:p>
      </w:tc>
    </w:tr>
    <w:tr w:rsidR="00A96BC0" w:rsidRPr="007C1BAE" w:rsidTr="00A96BC0">
      <w:tc>
        <w:tcPr>
          <w:tcW w:w="1368" w:type="dxa"/>
          <w:vMerge/>
        </w:tcPr>
        <w:p w:rsidR="00A96BC0" w:rsidRDefault="00A96BC0" w:rsidP="00A96BC0">
          <w:pPr>
            <w:pStyle w:val="Zhlav"/>
            <w:jc w:val="both"/>
          </w:pPr>
        </w:p>
      </w:tc>
      <w:tc>
        <w:tcPr>
          <w:tcW w:w="4773" w:type="dxa"/>
          <w:vMerge/>
        </w:tcPr>
        <w:p w:rsidR="00A96BC0" w:rsidRPr="007C1BAE" w:rsidRDefault="00A96BC0" w:rsidP="00A96BC0">
          <w:pPr>
            <w:pStyle w:val="Zhlav"/>
            <w:jc w:val="both"/>
          </w:pPr>
        </w:p>
      </w:tc>
      <w:tc>
        <w:tcPr>
          <w:tcW w:w="3071" w:type="dxa"/>
        </w:tcPr>
        <w:p w:rsidR="00A96BC0" w:rsidRPr="007C1BAE" w:rsidRDefault="00A96BC0" w:rsidP="00A96BC0">
          <w:pPr>
            <w:pStyle w:val="Zhlav"/>
            <w:jc w:val="right"/>
          </w:pPr>
        </w:p>
      </w:tc>
    </w:tr>
  </w:tbl>
  <w:p w:rsidR="00A96BC0" w:rsidRDefault="00A96BC0" w:rsidP="00A96BC0">
    <w:pPr>
      <w:pStyle w:val="Zhlav"/>
    </w:pPr>
  </w:p>
  <w:p w:rsidR="00A96BC0" w:rsidRDefault="00A96B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A2"/>
    <w:rsid w:val="0004723B"/>
    <w:rsid w:val="002061D1"/>
    <w:rsid w:val="002134FA"/>
    <w:rsid w:val="002519E6"/>
    <w:rsid w:val="00366143"/>
    <w:rsid w:val="00485080"/>
    <w:rsid w:val="005859DE"/>
    <w:rsid w:val="006941BD"/>
    <w:rsid w:val="007A22CC"/>
    <w:rsid w:val="007C1BAE"/>
    <w:rsid w:val="00863C1B"/>
    <w:rsid w:val="00874FF3"/>
    <w:rsid w:val="008F53A2"/>
    <w:rsid w:val="00A92E33"/>
    <w:rsid w:val="00A96BC0"/>
    <w:rsid w:val="00A96D9A"/>
    <w:rsid w:val="00AA7AE4"/>
    <w:rsid w:val="00AD5EDA"/>
    <w:rsid w:val="00B70ECA"/>
    <w:rsid w:val="00BA0001"/>
    <w:rsid w:val="00C12D3A"/>
    <w:rsid w:val="00CA1984"/>
    <w:rsid w:val="00D115B0"/>
    <w:rsid w:val="00D17E0E"/>
    <w:rsid w:val="00D3658D"/>
    <w:rsid w:val="00D459C5"/>
    <w:rsid w:val="00D67AE1"/>
    <w:rsid w:val="00DB609C"/>
    <w:rsid w:val="00F057E3"/>
    <w:rsid w:val="00F8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B58A60-9C7E-47BD-8128-61616594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BC0"/>
    <w:pPr>
      <w:widowControl w:val="0"/>
      <w:spacing w:line="288" w:lineRule="auto"/>
    </w:pPr>
    <w:rPr>
      <w:rFonts w:ascii="Times New Roman" w:eastAsia="Times New Roman" w:hAnsi="Times New Roman"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96B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6BC0"/>
  </w:style>
  <w:style w:type="paragraph" w:styleId="Zpat">
    <w:name w:val="footer"/>
    <w:basedOn w:val="Normln"/>
    <w:link w:val="ZpatChar"/>
    <w:uiPriority w:val="99"/>
    <w:unhideWhenUsed/>
    <w:rsid w:val="00A96BC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BC0"/>
  </w:style>
  <w:style w:type="table" w:styleId="Mkatabulky">
    <w:name w:val="Table Grid"/>
    <w:basedOn w:val="Normlntabulka"/>
    <w:rsid w:val="00A96BC0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6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6BC0"/>
    <w:rPr>
      <w:rFonts w:ascii="Tahoma" w:hAnsi="Tahoma" w:cs="Tahoma"/>
      <w:sz w:val="16"/>
      <w:szCs w:val="16"/>
    </w:rPr>
  </w:style>
  <w:style w:type="paragraph" w:customStyle="1" w:styleId="Styltabulky">
    <w:name w:val="Styl tabulky"/>
    <w:basedOn w:val="Normln"/>
    <w:rsid w:val="00A96BC0"/>
    <w:rPr>
      <w:sz w:val="20"/>
    </w:rPr>
  </w:style>
  <w:style w:type="character" w:styleId="Hypertextovodkaz">
    <w:name w:val="Hyperlink"/>
    <w:uiPriority w:val="99"/>
    <w:unhideWhenUsed/>
    <w:rsid w:val="00D17E0E"/>
    <w:rPr>
      <w:color w:val="0563C1"/>
      <w:u w:val="single"/>
    </w:rPr>
  </w:style>
  <w:style w:type="paragraph" w:customStyle="1" w:styleId="Default">
    <w:name w:val="Default"/>
    <w:rsid w:val="002061D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cmanova\Documents\Havi&#269;kov&#253;%20pap&#237;r%20-obe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37D568-E015-4DDB-9520-BDC7DC0A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Havičkový papír -obec</Template>
  <TotalTime>0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Leicmanova</dc:creator>
  <cp:keywords/>
  <cp:lastModifiedBy>Leicmanova</cp:lastModifiedBy>
  <cp:revision>2</cp:revision>
  <cp:lastPrinted>2018-07-31T11:18:00Z</cp:lastPrinted>
  <dcterms:created xsi:type="dcterms:W3CDTF">2018-07-31T11:32:00Z</dcterms:created>
  <dcterms:modified xsi:type="dcterms:W3CDTF">2018-07-31T11:32:00Z</dcterms:modified>
</cp:coreProperties>
</file>